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B12B" w14:textId="77777777" w:rsidR="005B2B09" w:rsidRDefault="005B2B09"/>
    <w:p w14:paraId="7EFF9DED" w14:textId="77777777" w:rsidR="005B2B09" w:rsidRDefault="005B2B09"/>
    <w:p w14:paraId="2BCACE6B" w14:textId="06DFC172" w:rsidR="0047541B" w:rsidRPr="0047541B" w:rsidRDefault="0047541B" w:rsidP="0047541B">
      <w:pPr>
        <w:pStyle w:val="BodyText"/>
        <w:spacing w:before="1" w:line="235" w:lineRule="auto"/>
        <w:ind w:left="160" w:right="161" w:firstLine="7"/>
        <w:jc w:val="both"/>
        <w:rPr>
          <w:rFonts w:ascii="Arial" w:hAnsi="Arial" w:cs="Arial"/>
          <w:b/>
          <w:color w:val="2F2F2F"/>
          <w:spacing w:val="7"/>
          <w:sz w:val="30"/>
          <w:szCs w:val="30"/>
        </w:rPr>
      </w:pPr>
      <w:r w:rsidRPr="0047541B">
        <w:rPr>
          <w:rFonts w:ascii="Arial" w:hAnsi="Arial" w:cs="Arial"/>
          <w:b/>
          <w:color w:val="2F2F2F"/>
          <w:spacing w:val="-8"/>
          <w:sz w:val="30"/>
          <w:szCs w:val="30"/>
        </w:rPr>
        <w:t>LICENSED</w:t>
      </w:r>
      <w:r w:rsidRPr="0047541B">
        <w:rPr>
          <w:rFonts w:ascii="Arial" w:hAnsi="Arial" w:cs="Arial"/>
          <w:b/>
          <w:color w:val="2F2F2F"/>
          <w:spacing w:val="-7"/>
          <w:sz w:val="30"/>
          <w:szCs w:val="30"/>
        </w:rPr>
        <w:t xml:space="preserve"> </w:t>
      </w:r>
      <w:r w:rsidRPr="0047541B">
        <w:rPr>
          <w:rFonts w:ascii="Arial" w:hAnsi="Arial" w:cs="Arial"/>
          <w:b/>
          <w:color w:val="2F2F2F"/>
          <w:spacing w:val="-8"/>
          <w:sz w:val="30"/>
          <w:szCs w:val="30"/>
        </w:rPr>
        <w:t>OFFICES</w:t>
      </w:r>
    </w:p>
    <w:p w14:paraId="0A6D47D9" w14:textId="77777777" w:rsidR="0047541B" w:rsidRDefault="0047541B" w:rsidP="0047541B">
      <w:pPr>
        <w:pStyle w:val="BodyText"/>
        <w:spacing w:before="1" w:line="235" w:lineRule="auto"/>
        <w:ind w:left="160" w:right="161" w:firstLine="7"/>
        <w:jc w:val="both"/>
        <w:rPr>
          <w:b/>
          <w:color w:val="2F2F2F"/>
          <w:spacing w:val="7"/>
        </w:rPr>
      </w:pPr>
    </w:p>
    <w:p w14:paraId="24EA3C53" w14:textId="596B9F70" w:rsidR="0047541B" w:rsidRPr="0047541B" w:rsidRDefault="0047541B" w:rsidP="0047541B">
      <w:pPr>
        <w:pStyle w:val="BodyText"/>
        <w:spacing w:before="1" w:line="235" w:lineRule="auto"/>
        <w:ind w:left="160" w:right="161" w:firstLine="7"/>
        <w:jc w:val="both"/>
        <w:rPr>
          <w:rFonts w:ascii="Arial" w:hAnsi="Arial" w:cs="Arial"/>
          <w:sz w:val="22"/>
          <w:szCs w:val="22"/>
        </w:rPr>
      </w:pPr>
      <w:r w:rsidRPr="0047541B">
        <w:rPr>
          <w:rFonts w:ascii="Arial" w:hAnsi="Arial" w:cs="Arial"/>
          <w:color w:val="2F2F2F"/>
          <w:spacing w:val="-8"/>
          <w:sz w:val="22"/>
          <w:szCs w:val="22"/>
        </w:rPr>
        <w:t>A</w:t>
      </w:r>
      <w:r w:rsidRPr="0047541B">
        <w:rPr>
          <w:rFonts w:ascii="Arial" w:hAnsi="Arial" w:cs="Arial"/>
          <w:color w:val="2F2F2F"/>
          <w:spacing w:val="-7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>confirmed</w:t>
      </w:r>
      <w:r w:rsidRPr="0047541B">
        <w:rPr>
          <w:rFonts w:ascii="Arial" w:hAnsi="Arial" w:cs="Arial"/>
          <w:color w:val="2F2F2F"/>
          <w:spacing w:val="12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>communicant</w:t>
      </w:r>
      <w:r w:rsidRPr="0047541B">
        <w:rPr>
          <w:rFonts w:ascii="Arial" w:hAnsi="Arial" w:cs="Arial"/>
          <w:color w:val="2F2F2F"/>
          <w:spacing w:val="12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>in</w:t>
      </w:r>
      <w:r w:rsidRPr="0047541B">
        <w:rPr>
          <w:rFonts w:ascii="Arial" w:hAnsi="Arial" w:cs="Arial"/>
          <w:color w:val="2F2F2F"/>
          <w:spacing w:val="-7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>good</w:t>
      </w:r>
      <w:r w:rsidRPr="0047541B">
        <w:rPr>
          <w:rFonts w:ascii="Arial" w:hAnsi="Arial" w:cs="Arial"/>
          <w:color w:val="2F2F2F"/>
          <w:spacing w:val="-6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>standing</w:t>
      </w:r>
      <w:r w:rsidRPr="0047541B">
        <w:rPr>
          <w:rFonts w:ascii="Arial" w:hAnsi="Arial" w:cs="Arial"/>
          <w:color w:val="2F2F2F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>or,</w:t>
      </w:r>
      <w:r w:rsidRPr="0047541B">
        <w:rPr>
          <w:rFonts w:ascii="Arial" w:hAnsi="Arial" w:cs="Arial"/>
          <w:color w:val="2F2F2F"/>
          <w:spacing w:val="-7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>in</w:t>
      </w:r>
      <w:r w:rsidRPr="0047541B">
        <w:rPr>
          <w:rFonts w:ascii="Arial" w:hAnsi="Arial" w:cs="Arial"/>
          <w:color w:val="2F2F2F"/>
          <w:spacing w:val="-6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 xml:space="preserve">extraordinary </w:t>
      </w:r>
      <w:r w:rsidRPr="0047541B">
        <w:rPr>
          <w:rFonts w:ascii="Arial" w:hAnsi="Arial" w:cs="Arial"/>
          <w:color w:val="2F2F2F"/>
          <w:sz w:val="22"/>
          <w:szCs w:val="22"/>
        </w:rPr>
        <w:t>circumstances,</w:t>
      </w:r>
      <w:r w:rsidRPr="0047541B">
        <w:rPr>
          <w:rFonts w:ascii="Arial" w:hAnsi="Arial" w:cs="Arial"/>
          <w:color w:val="2F2F2F"/>
          <w:spacing w:val="-10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subject to</w:t>
      </w:r>
      <w:r w:rsidRPr="0047541B">
        <w:rPr>
          <w:rFonts w:ascii="Arial" w:hAnsi="Arial" w:cs="Arial"/>
          <w:color w:val="2F2F2F"/>
          <w:spacing w:val="-3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guidelines established by</w:t>
      </w:r>
      <w:r w:rsidRPr="0047541B">
        <w:rPr>
          <w:rFonts w:ascii="Arial" w:hAnsi="Arial" w:cs="Arial"/>
          <w:color w:val="2F2F2F"/>
          <w:spacing w:val="-7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the</w:t>
      </w:r>
      <w:r w:rsidRPr="0047541B">
        <w:rPr>
          <w:rFonts w:ascii="Arial" w:hAnsi="Arial" w:cs="Arial"/>
          <w:color w:val="2F2F2F"/>
          <w:spacing w:val="-1"/>
          <w:sz w:val="22"/>
          <w:szCs w:val="22"/>
        </w:rPr>
        <w:t xml:space="preserve"> </w:t>
      </w:r>
      <w:proofErr w:type="gramStart"/>
      <w:r w:rsidRPr="0047541B">
        <w:rPr>
          <w:rFonts w:ascii="Arial" w:hAnsi="Arial" w:cs="Arial"/>
          <w:color w:val="2F2F2F"/>
          <w:sz w:val="22"/>
          <w:szCs w:val="22"/>
        </w:rPr>
        <w:t>Bishop</w:t>
      </w:r>
      <w:proofErr w:type="gramEnd"/>
      <w:r w:rsidRPr="0047541B">
        <w:rPr>
          <w:rFonts w:ascii="Arial" w:hAnsi="Arial" w:cs="Arial"/>
          <w:color w:val="2F2F2F"/>
          <w:sz w:val="22"/>
          <w:szCs w:val="22"/>
        </w:rPr>
        <w:t>, a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 xml:space="preserve">communicant </w:t>
      </w:r>
      <w:r w:rsidRPr="0047541B">
        <w:rPr>
          <w:rFonts w:ascii="Arial" w:hAnsi="Arial" w:cs="Arial"/>
          <w:bCs/>
          <w:color w:val="2F2F2F"/>
          <w:sz w:val="22"/>
          <w:szCs w:val="22"/>
        </w:rPr>
        <w:t>in</w:t>
      </w:r>
      <w:r w:rsidRPr="0047541B">
        <w:rPr>
          <w:rFonts w:ascii="Arial" w:hAnsi="Arial" w:cs="Arial"/>
          <w:bCs/>
          <w:color w:val="2F2F2F"/>
          <w:spacing w:val="-4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good standing, may serve as pastoral leader, worship leader, preacher, eucharistic minister, eucharistic visitor, evangelist</w:t>
      </w:r>
      <w:r>
        <w:rPr>
          <w:rFonts w:ascii="Arial" w:hAnsi="Arial" w:cs="Arial"/>
          <w:color w:val="2F2F2F"/>
          <w:sz w:val="22"/>
          <w:szCs w:val="22"/>
        </w:rPr>
        <w:t>,</w:t>
      </w:r>
      <w:r w:rsidRPr="0047541B">
        <w:rPr>
          <w:rFonts w:ascii="Arial" w:hAnsi="Arial" w:cs="Arial"/>
          <w:color w:val="2F2F2F"/>
          <w:sz w:val="22"/>
          <w:szCs w:val="22"/>
        </w:rPr>
        <w:t xml:space="preserve"> or</w:t>
      </w:r>
      <w:r w:rsidRPr="0047541B">
        <w:rPr>
          <w:rFonts w:ascii="Arial" w:hAnsi="Arial" w:cs="Arial"/>
          <w:color w:val="2F2F2F"/>
          <w:spacing w:val="-2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 xml:space="preserve">catechist, </w:t>
      </w:r>
      <w:r>
        <w:rPr>
          <w:rFonts w:ascii="Arial" w:hAnsi="Arial" w:cs="Arial"/>
          <w:color w:val="2F2F2F"/>
          <w:sz w:val="22"/>
          <w:szCs w:val="22"/>
        </w:rPr>
        <w:t>if licensed</w:t>
      </w:r>
      <w:r w:rsidRPr="0047541B">
        <w:rPr>
          <w:rFonts w:ascii="Arial" w:hAnsi="Arial" w:cs="Arial"/>
          <w:color w:val="2F2F2F"/>
          <w:sz w:val="22"/>
          <w:szCs w:val="22"/>
        </w:rPr>
        <w:t xml:space="preserve"> by</w:t>
      </w:r>
      <w:r w:rsidRPr="0047541B">
        <w:rPr>
          <w:rFonts w:ascii="Arial" w:hAnsi="Arial" w:cs="Arial"/>
          <w:color w:val="2F2F2F"/>
          <w:spacing w:val="-3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the</w:t>
      </w:r>
      <w:r w:rsidRPr="0047541B">
        <w:rPr>
          <w:rFonts w:ascii="Arial" w:hAnsi="Arial" w:cs="Arial"/>
          <w:color w:val="2F2F2F"/>
          <w:spacing w:val="-9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Bishop. With</w:t>
      </w:r>
      <w:r w:rsidRPr="0047541B">
        <w:rPr>
          <w:rFonts w:ascii="Arial" w:hAnsi="Arial" w:cs="Arial"/>
          <w:color w:val="2F2F2F"/>
          <w:spacing w:val="-1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the</w:t>
      </w:r>
      <w:r w:rsidRPr="0047541B">
        <w:rPr>
          <w:rFonts w:ascii="Arial" w:hAnsi="Arial" w:cs="Arial"/>
          <w:color w:val="2F2F2F"/>
          <w:spacing w:val="-2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advice</w:t>
      </w:r>
      <w:r w:rsidRPr="0047541B">
        <w:rPr>
          <w:rFonts w:ascii="Arial" w:hAnsi="Arial" w:cs="Arial"/>
          <w:color w:val="2F2F2F"/>
          <w:spacing w:val="-2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of</w:t>
      </w:r>
      <w:r w:rsidRPr="0047541B">
        <w:rPr>
          <w:rFonts w:ascii="Arial" w:hAnsi="Arial" w:cs="Arial"/>
          <w:color w:val="2F2F2F"/>
          <w:spacing w:val="-1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the</w:t>
      </w:r>
      <w:r w:rsidRPr="0047541B">
        <w:rPr>
          <w:rFonts w:ascii="Arial" w:hAnsi="Arial" w:cs="Arial"/>
          <w:color w:val="2F2F2F"/>
          <w:spacing w:val="-8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Commission on</w:t>
      </w:r>
      <w:r w:rsidRPr="0047541B">
        <w:rPr>
          <w:rFonts w:ascii="Arial" w:hAnsi="Arial" w:cs="Arial"/>
          <w:color w:val="2F2F2F"/>
          <w:spacing w:val="-10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Ministry, the</w:t>
      </w:r>
      <w:r w:rsidRPr="0047541B">
        <w:rPr>
          <w:rFonts w:ascii="Arial" w:hAnsi="Arial" w:cs="Arial"/>
          <w:color w:val="2F2F2F"/>
          <w:spacing w:val="-11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Bishop sets</w:t>
      </w:r>
      <w:r w:rsidRPr="0047541B">
        <w:rPr>
          <w:rFonts w:ascii="Arial" w:hAnsi="Arial" w:cs="Arial"/>
          <w:color w:val="2F2F2F"/>
          <w:spacing w:val="-1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guidelines for</w:t>
      </w:r>
      <w:r w:rsidRPr="0047541B">
        <w:rPr>
          <w:rFonts w:ascii="Arial" w:hAnsi="Arial" w:cs="Arial"/>
          <w:color w:val="2F2F2F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2F2F2F"/>
          <w:spacing w:val="-7"/>
          <w:sz w:val="22"/>
          <w:szCs w:val="22"/>
        </w:rPr>
        <w:t xml:space="preserve">the </w:t>
      </w:r>
      <w:r w:rsidRPr="0047541B">
        <w:rPr>
          <w:rFonts w:ascii="Arial" w:hAnsi="Arial" w:cs="Arial"/>
          <w:color w:val="2F2F2F"/>
          <w:sz w:val="22"/>
          <w:szCs w:val="22"/>
        </w:rPr>
        <w:t>training, selection</w:t>
      </w:r>
      <w:r>
        <w:rPr>
          <w:rFonts w:ascii="Arial" w:hAnsi="Arial" w:cs="Arial"/>
          <w:color w:val="2F2F2F"/>
          <w:sz w:val="22"/>
          <w:szCs w:val="22"/>
        </w:rPr>
        <w:t>,</w:t>
      </w:r>
      <w:r w:rsidRPr="0047541B">
        <w:rPr>
          <w:rFonts w:ascii="Arial" w:hAnsi="Arial" w:cs="Arial"/>
          <w:color w:val="2F2F2F"/>
          <w:sz w:val="22"/>
          <w:szCs w:val="22"/>
        </w:rPr>
        <w:t xml:space="preserve"> and</w:t>
      </w:r>
      <w:r w:rsidRPr="0047541B">
        <w:rPr>
          <w:rFonts w:ascii="Arial" w:hAnsi="Arial" w:cs="Arial"/>
          <w:color w:val="2F2F2F"/>
          <w:spacing w:val="-6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licensing of</w:t>
      </w:r>
      <w:r w:rsidRPr="0047541B">
        <w:rPr>
          <w:rFonts w:ascii="Arial" w:hAnsi="Arial" w:cs="Arial"/>
          <w:color w:val="2F2F2F"/>
          <w:spacing w:val="-9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such</w:t>
      </w:r>
      <w:r w:rsidRPr="0047541B">
        <w:rPr>
          <w:rFonts w:ascii="Arial" w:hAnsi="Arial" w:cs="Arial"/>
          <w:color w:val="2F2F2F"/>
          <w:spacing w:val="-7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persons and</w:t>
      </w:r>
      <w:r w:rsidRPr="0047541B">
        <w:rPr>
          <w:rFonts w:ascii="Arial" w:hAnsi="Arial" w:cs="Arial"/>
          <w:color w:val="2F2F2F"/>
          <w:spacing w:val="-3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the</w:t>
      </w:r>
      <w:r w:rsidRPr="0047541B">
        <w:rPr>
          <w:rFonts w:ascii="Arial" w:hAnsi="Arial" w:cs="Arial"/>
          <w:color w:val="2F2F2F"/>
          <w:spacing w:val="-10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duration of licenses.</w:t>
      </w:r>
      <w:r w:rsidRPr="0047541B">
        <w:rPr>
          <w:rFonts w:ascii="Arial" w:hAnsi="Arial" w:cs="Arial"/>
          <w:color w:val="2F2F2F"/>
          <w:spacing w:val="40"/>
          <w:sz w:val="22"/>
          <w:szCs w:val="22"/>
        </w:rPr>
        <w:t xml:space="preserve"> </w:t>
      </w:r>
      <w:r w:rsidRPr="0047541B">
        <w:rPr>
          <w:rFonts w:ascii="Arial" w:hAnsi="Arial" w:cs="Arial"/>
          <w:color w:val="2F2F2F"/>
          <w:sz w:val="22"/>
          <w:szCs w:val="22"/>
        </w:rPr>
        <w:t>Furthermore, the following shall apply:</w:t>
      </w:r>
    </w:p>
    <w:p w14:paraId="4918F0D4" w14:textId="77777777" w:rsidR="0047541B" w:rsidRPr="0047541B" w:rsidRDefault="0047541B" w:rsidP="0047541B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5CDBC317" w14:textId="77777777" w:rsidR="0047541B" w:rsidRPr="0047541B" w:rsidRDefault="0047541B" w:rsidP="0047541B">
      <w:pPr>
        <w:pStyle w:val="ListParagraph"/>
        <w:numPr>
          <w:ilvl w:val="0"/>
          <w:numId w:val="1"/>
        </w:numPr>
        <w:tabs>
          <w:tab w:val="left" w:pos="1535"/>
        </w:tabs>
        <w:spacing w:before="1"/>
        <w:ind w:right="167" w:hanging="685"/>
        <w:rPr>
          <w:rFonts w:ascii="Arial" w:hAnsi="Arial" w:cs="Arial"/>
        </w:rPr>
      </w:pPr>
      <w:r w:rsidRPr="0047541B">
        <w:rPr>
          <w:rFonts w:ascii="Arial" w:hAnsi="Arial" w:cs="Arial"/>
          <w:color w:val="2F2F2F"/>
        </w:rPr>
        <w:t xml:space="preserve">The </w:t>
      </w:r>
      <w:proofErr w:type="gramStart"/>
      <w:r w:rsidRPr="0047541B">
        <w:rPr>
          <w:rFonts w:ascii="Arial" w:hAnsi="Arial" w:cs="Arial"/>
          <w:color w:val="2F2F2F"/>
        </w:rPr>
        <w:t>Bishop</w:t>
      </w:r>
      <w:proofErr w:type="gramEnd"/>
      <w:r w:rsidRPr="0047541B">
        <w:rPr>
          <w:rFonts w:ascii="Arial" w:hAnsi="Arial" w:cs="Arial"/>
          <w:color w:val="2F2F2F"/>
        </w:rPr>
        <w:t xml:space="preserve"> issues a license only at the request and upon the recommendation of the Priest-in-Charge</w:t>
      </w:r>
      <w:r w:rsidRPr="0047541B">
        <w:rPr>
          <w:rFonts w:ascii="Arial" w:hAnsi="Arial" w:cs="Arial"/>
          <w:color w:val="2F2F2F"/>
          <w:spacing w:val="-12"/>
        </w:rPr>
        <w:t xml:space="preserve"> </w:t>
      </w:r>
      <w:r w:rsidRPr="0047541B">
        <w:rPr>
          <w:rFonts w:ascii="Arial" w:hAnsi="Arial" w:cs="Arial"/>
          <w:color w:val="2F2F2F"/>
        </w:rPr>
        <w:t>of the</w:t>
      </w:r>
      <w:r w:rsidRPr="0047541B">
        <w:rPr>
          <w:rFonts w:ascii="Arial" w:hAnsi="Arial" w:cs="Arial"/>
          <w:color w:val="2F2F2F"/>
          <w:spacing w:val="-7"/>
        </w:rPr>
        <w:t xml:space="preserve"> </w:t>
      </w:r>
      <w:r w:rsidRPr="0047541B">
        <w:rPr>
          <w:rFonts w:ascii="Arial" w:hAnsi="Arial" w:cs="Arial"/>
          <w:color w:val="2F2F2F"/>
        </w:rPr>
        <w:t>Congregation in which the</w:t>
      </w:r>
      <w:r w:rsidRPr="0047541B">
        <w:rPr>
          <w:rFonts w:ascii="Arial" w:hAnsi="Arial" w:cs="Arial"/>
          <w:color w:val="2F2F2F"/>
          <w:spacing w:val="-1"/>
        </w:rPr>
        <w:t xml:space="preserve"> </w:t>
      </w:r>
      <w:r w:rsidRPr="0047541B">
        <w:rPr>
          <w:rFonts w:ascii="Arial" w:hAnsi="Arial" w:cs="Arial"/>
          <w:color w:val="2F2F2F"/>
        </w:rPr>
        <w:t>person will be serving. The license</w:t>
      </w:r>
      <w:r w:rsidRPr="0047541B">
        <w:rPr>
          <w:rFonts w:ascii="Arial" w:hAnsi="Arial" w:cs="Arial"/>
          <w:color w:val="2F2F2F"/>
          <w:spacing w:val="-6"/>
        </w:rPr>
        <w:t xml:space="preserve"> </w:t>
      </w:r>
      <w:r w:rsidRPr="0047541B">
        <w:rPr>
          <w:rFonts w:ascii="Arial" w:hAnsi="Arial" w:cs="Arial"/>
          <w:color w:val="2F2F2F"/>
        </w:rPr>
        <w:t>carries</w:t>
      </w:r>
      <w:r w:rsidRPr="0047541B">
        <w:rPr>
          <w:rFonts w:ascii="Arial" w:hAnsi="Arial" w:cs="Arial"/>
          <w:color w:val="2F2F2F"/>
          <w:spacing w:val="-4"/>
        </w:rPr>
        <w:t xml:space="preserve"> </w:t>
      </w:r>
      <w:r w:rsidRPr="0047541B">
        <w:rPr>
          <w:rFonts w:ascii="Arial" w:hAnsi="Arial" w:cs="Arial"/>
          <w:color w:val="2F2F2F"/>
        </w:rPr>
        <w:t>a</w:t>
      </w:r>
      <w:r w:rsidRPr="0047541B">
        <w:rPr>
          <w:rFonts w:ascii="Arial" w:hAnsi="Arial" w:cs="Arial"/>
          <w:color w:val="2F2F2F"/>
          <w:spacing w:val="-11"/>
        </w:rPr>
        <w:t xml:space="preserve"> </w:t>
      </w:r>
      <w:r w:rsidRPr="0047541B">
        <w:rPr>
          <w:rFonts w:ascii="Arial" w:hAnsi="Arial" w:cs="Arial"/>
          <w:color w:val="2F2F2F"/>
        </w:rPr>
        <w:t>term</w:t>
      </w:r>
      <w:r w:rsidRPr="0047541B">
        <w:rPr>
          <w:rFonts w:ascii="Arial" w:hAnsi="Arial" w:cs="Arial"/>
          <w:color w:val="2F2F2F"/>
          <w:spacing w:val="-2"/>
        </w:rPr>
        <w:t xml:space="preserve"> </w:t>
      </w:r>
      <w:r w:rsidRPr="0047541B">
        <w:rPr>
          <w:rFonts w:ascii="Arial" w:hAnsi="Arial" w:cs="Arial"/>
          <w:color w:val="2F2F2F"/>
        </w:rPr>
        <w:t>not to</w:t>
      </w:r>
      <w:r w:rsidRPr="0047541B">
        <w:rPr>
          <w:rFonts w:ascii="Arial" w:hAnsi="Arial" w:cs="Arial"/>
          <w:color w:val="2F2F2F"/>
          <w:spacing w:val="-3"/>
        </w:rPr>
        <w:t xml:space="preserve"> </w:t>
      </w:r>
      <w:r w:rsidRPr="0047541B">
        <w:rPr>
          <w:rFonts w:ascii="Arial" w:hAnsi="Arial" w:cs="Arial"/>
          <w:color w:val="2F2F2F"/>
        </w:rPr>
        <w:t>exceed</w:t>
      </w:r>
      <w:r w:rsidRPr="0047541B">
        <w:rPr>
          <w:rFonts w:ascii="Arial" w:hAnsi="Arial" w:cs="Arial"/>
          <w:color w:val="2F2F2F"/>
          <w:spacing w:val="-1"/>
        </w:rPr>
        <w:t xml:space="preserve"> </w:t>
      </w:r>
      <w:r w:rsidRPr="0047541B">
        <w:rPr>
          <w:rFonts w:ascii="Arial" w:hAnsi="Arial" w:cs="Arial"/>
          <w:color w:val="2F2F2F"/>
        </w:rPr>
        <w:t>three</w:t>
      </w:r>
      <w:r w:rsidRPr="0047541B">
        <w:rPr>
          <w:rFonts w:ascii="Arial" w:hAnsi="Arial" w:cs="Arial"/>
          <w:color w:val="2F2F2F"/>
          <w:spacing w:val="-6"/>
        </w:rPr>
        <w:t xml:space="preserve"> </w:t>
      </w:r>
      <w:r w:rsidRPr="0047541B">
        <w:rPr>
          <w:rFonts w:ascii="Arial" w:hAnsi="Arial" w:cs="Arial"/>
          <w:color w:val="2F2F2F"/>
        </w:rPr>
        <w:t>years</w:t>
      </w:r>
      <w:r w:rsidRPr="0047541B">
        <w:rPr>
          <w:rFonts w:ascii="Arial" w:hAnsi="Arial" w:cs="Arial"/>
          <w:color w:val="2F2F2F"/>
          <w:spacing w:val="-2"/>
        </w:rPr>
        <w:t xml:space="preserve"> </w:t>
      </w:r>
      <w:r w:rsidRPr="0047541B">
        <w:rPr>
          <w:rFonts w:ascii="Arial" w:hAnsi="Arial" w:cs="Arial"/>
          <w:color w:val="2F2F2F"/>
        </w:rPr>
        <w:t>and</w:t>
      </w:r>
      <w:r w:rsidRPr="0047541B">
        <w:rPr>
          <w:rFonts w:ascii="Arial" w:hAnsi="Arial" w:cs="Arial"/>
          <w:color w:val="2F2F2F"/>
          <w:spacing w:val="-1"/>
        </w:rPr>
        <w:t xml:space="preserve"> </w:t>
      </w:r>
      <w:r w:rsidRPr="0047541B">
        <w:rPr>
          <w:rFonts w:ascii="Arial" w:hAnsi="Arial" w:cs="Arial"/>
          <w:color w:val="2F2F2F"/>
        </w:rPr>
        <w:t>is</w:t>
      </w:r>
      <w:r w:rsidRPr="0047541B">
        <w:rPr>
          <w:rFonts w:ascii="Arial" w:hAnsi="Arial" w:cs="Arial"/>
          <w:color w:val="2F2F2F"/>
          <w:spacing w:val="-14"/>
        </w:rPr>
        <w:t xml:space="preserve"> </w:t>
      </w:r>
      <w:r w:rsidRPr="0047541B">
        <w:rPr>
          <w:rFonts w:ascii="Arial" w:hAnsi="Arial" w:cs="Arial"/>
          <w:color w:val="2F2F2F"/>
        </w:rPr>
        <w:t>revocable by</w:t>
      </w:r>
      <w:r w:rsidRPr="0047541B">
        <w:rPr>
          <w:rFonts w:ascii="Arial" w:hAnsi="Arial" w:cs="Arial"/>
          <w:color w:val="2F2F2F"/>
          <w:spacing w:val="-4"/>
        </w:rPr>
        <w:t xml:space="preserve"> </w:t>
      </w:r>
      <w:r w:rsidRPr="0047541B">
        <w:rPr>
          <w:rFonts w:ascii="Arial" w:hAnsi="Arial" w:cs="Arial"/>
          <w:color w:val="2F2F2F"/>
        </w:rPr>
        <w:t>the</w:t>
      </w:r>
      <w:r w:rsidRPr="0047541B">
        <w:rPr>
          <w:rFonts w:ascii="Arial" w:hAnsi="Arial" w:cs="Arial"/>
          <w:color w:val="2F2F2F"/>
          <w:spacing w:val="-9"/>
        </w:rPr>
        <w:t xml:space="preserve"> </w:t>
      </w:r>
      <w:proofErr w:type="gramStart"/>
      <w:r w:rsidRPr="0047541B">
        <w:rPr>
          <w:rFonts w:ascii="Arial" w:hAnsi="Arial" w:cs="Arial"/>
          <w:color w:val="2F2F2F"/>
        </w:rPr>
        <w:t>Bishop</w:t>
      </w:r>
      <w:proofErr w:type="gramEnd"/>
      <w:r w:rsidRPr="0047541B">
        <w:rPr>
          <w:rFonts w:ascii="Arial" w:hAnsi="Arial" w:cs="Arial"/>
          <w:color w:val="2F2F2F"/>
          <w:spacing w:val="-1"/>
        </w:rPr>
        <w:t xml:space="preserve"> </w:t>
      </w:r>
      <w:r w:rsidRPr="0047541B">
        <w:rPr>
          <w:rFonts w:ascii="Arial" w:hAnsi="Arial" w:cs="Arial"/>
          <w:color w:val="2F2F2F"/>
        </w:rPr>
        <w:t>or</w:t>
      </w:r>
      <w:r w:rsidRPr="0047541B">
        <w:rPr>
          <w:rFonts w:ascii="Arial" w:hAnsi="Arial" w:cs="Arial"/>
          <w:color w:val="2F2F2F"/>
          <w:spacing w:val="-7"/>
        </w:rPr>
        <w:t xml:space="preserve"> </w:t>
      </w:r>
      <w:r w:rsidRPr="0047541B">
        <w:rPr>
          <w:rFonts w:ascii="Arial" w:hAnsi="Arial" w:cs="Arial"/>
          <w:color w:val="2F2F2F"/>
        </w:rPr>
        <w:t>at the request of the Priest-in-Charge.</w:t>
      </w:r>
    </w:p>
    <w:p w14:paraId="75D82D88" w14:textId="77777777" w:rsidR="0047541B" w:rsidRPr="0047541B" w:rsidRDefault="0047541B" w:rsidP="0047541B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157B4FE" w14:textId="2A34CB48" w:rsidR="0047541B" w:rsidRPr="0047541B" w:rsidRDefault="0047541B" w:rsidP="0047541B">
      <w:pPr>
        <w:pStyle w:val="ListParagraph"/>
        <w:numPr>
          <w:ilvl w:val="0"/>
          <w:numId w:val="1"/>
        </w:numPr>
        <w:tabs>
          <w:tab w:val="left" w:pos="1530"/>
        </w:tabs>
        <w:spacing w:line="232" w:lineRule="auto"/>
        <w:ind w:left="1530" w:right="180" w:hanging="691"/>
        <w:rPr>
          <w:rFonts w:ascii="Arial" w:hAnsi="Arial" w:cs="Arial"/>
        </w:rPr>
      </w:pPr>
      <w:r w:rsidRPr="0047541B">
        <w:rPr>
          <w:rFonts w:ascii="Arial" w:hAnsi="Arial" w:cs="Arial"/>
          <w:color w:val="2F2F2F"/>
        </w:rPr>
        <w:t>Renewal of the license is</w:t>
      </w:r>
      <w:r w:rsidRPr="0047541B">
        <w:rPr>
          <w:rFonts w:ascii="Arial" w:hAnsi="Arial" w:cs="Arial"/>
          <w:color w:val="2F2F2F"/>
          <w:spacing w:val="-3"/>
        </w:rPr>
        <w:t xml:space="preserve"> </w:t>
      </w:r>
      <w:r w:rsidRPr="0047541B">
        <w:rPr>
          <w:rFonts w:ascii="Arial" w:hAnsi="Arial" w:cs="Arial"/>
          <w:color w:val="2F2F2F"/>
        </w:rPr>
        <w:t>determined based on the acceptable performance of the ministry by the licensee and upon the endorsement</w:t>
      </w:r>
      <w:r w:rsidRPr="0047541B">
        <w:rPr>
          <w:rFonts w:ascii="Arial" w:hAnsi="Arial" w:cs="Arial"/>
          <w:color w:val="2F2F2F"/>
          <w:spacing w:val="40"/>
        </w:rPr>
        <w:t xml:space="preserve"> </w:t>
      </w:r>
      <w:r w:rsidRPr="0047541B">
        <w:rPr>
          <w:rFonts w:ascii="Arial" w:hAnsi="Arial" w:cs="Arial"/>
          <w:color w:val="2F2F2F"/>
        </w:rPr>
        <w:t>of the</w:t>
      </w:r>
      <w:r>
        <w:rPr>
          <w:rFonts w:ascii="Arial" w:hAnsi="Arial" w:cs="Arial"/>
          <w:color w:val="2F2F2F"/>
        </w:rPr>
        <w:t xml:space="preserve"> </w:t>
      </w:r>
      <w:r w:rsidRPr="0047541B">
        <w:rPr>
          <w:rFonts w:ascii="Arial" w:hAnsi="Arial" w:cs="Arial"/>
          <w:color w:val="2F2F2F"/>
        </w:rPr>
        <w:t>Priest-in-Charge.</w:t>
      </w:r>
    </w:p>
    <w:p w14:paraId="1CC72E0C" w14:textId="77777777" w:rsidR="0047541B" w:rsidRPr="0047541B" w:rsidRDefault="0047541B" w:rsidP="0047541B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203E3790" w14:textId="77777777" w:rsidR="0047541B" w:rsidRPr="0047541B" w:rsidRDefault="0047541B" w:rsidP="0047541B">
      <w:pPr>
        <w:pStyle w:val="ListParagraph"/>
        <w:numPr>
          <w:ilvl w:val="0"/>
          <w:numId w:val="1"/>
        </w:numPr>
        <w:tabs>
          <w:tab w:val="left" w:pos="1523"/>
        </w:tabs>
        <w:ind w:left="1519" w:right="180" w:hanging="684"/>
        <w:rPr>
          <w:rFonts w:ascii="Arial" w:hAnsi="Arial" w:cs="Arial"/>
        </w:rPr>
      </w:pPr>
      <w:r w:rsidRPr="0047541B">
        <w:rPr>
          <w:rFonts w:ascii="Arial" w:hAnsi="Arial" w:cs="Arial"/>
          <w:color w:val="2F2F2F"/>
        </w:rPr>
        <w:tab/>
        <w:t>A</w:t>
      </w:r>
      <w:r w:rsidRPr="0047541B">
        <w:rPr>
          <w:rFonts w:ascii="Arial" w:hAnsi="Arial" w:cs="Arial"/>
          <w:color w:val="2F2F2F"/>
          <w:spacing w:val="-5"/>
        </w:rPr>
        <w:t xml:space="preserve"> </w:t>
      </w:r>
      <w:r w:rsidRPr="0047541B">
        <w:rPr>
          <w:rFonts w:ascii="Arial" w:hAnsi="Arial" w:cs="Arial"/>
          <w:color w:val="2F2F2F"/>
        </w:rPr>
        <w:t>person licensed in</w:t>
      </w:r>
      <w:r w:rsidRPr="0047541B">
        <w:rPr>
          <w:rFonts w:ascii="Arial" w:hAnsi="Arial" w:cs="Arial"/>
          <w:color w:val="2F2F2F"/>
          <w:spacing w:val="-3"/>
        </w:rPr>
        <w:t xml:space="preserve"> </w:t>
      </w:r>
      <w:r w:rsidRPr="0047541B">
        <w:rPr>
          <w:rFonts w:ascii="Arial" w:hAnsi="Arial" w:cs="Arial"/>
          <w:color w:val="2F2F2F"/>
        </w:rPr>
        <w:t>a Diocese may serve in</w:t>
      </w:r>
      <w:r w:rsidRPr="0047541B">
        <w:rPr>
          <w:rFonts w:ascii="Arial" w:hAnsi="Arial" w:cs="Arial"/>
          <w:color w:val="2F2F2F"/>
          <w:spacing w:val="-3"/>
        </w:rPr>
        <w:t xml:space="preserve"> </w:t>
      </w:r>
      <w:r w:rsidRPr="0047541B">
        <w:rPr>
          <w:rFonts w:ascii="Arial" w:hAnsi="Arial" w:cs="Arial"/>
          <w:color w:val="2F2F2F"/>
        </w:rPr>
        <w:t>any Congregation within the</w:t>
      </w:r>
      <w:r w:rsidRPr="0047541B">
        <w:rPr>
          <w:rFonts w:ascii="Arial" w:hAnsi="Arial" w:cs="Arial"/>
          <w:color w:val="2F2F2F"/>
          <w:spacing w:val="-8"/>
        </w:rPr>
        <w:t xml:space="preserve"> </w:t>
      </w:r>
      <w:r w:rsidRPr="0047541B">
        <w:rPr>
          <w:rFonts w:ascii="Arial" w:hAnsi="Arial" w:cs="Arial"/>
          <w:color w:val="2F2F2F"/>
        </w:rPr>
        <w:t xml:space="preserve">same or another Diocese at the invitation of the Priest-in-Charge of such Congregation. When serving in another Diocese, the licensee may do so with the consent of the </w:t>
      </w:r>
      <w:proofErr w:type="gramStart"/>
      <w:r w:rsidRPr="0047541B">
        <w:rPr>
          <w:rFonts w:ascii="Arial" w:hAnsi="Arial" w:cs="Arial"/>
          <w:color w:val="2F2F2F"/>
        </w:rPr>
        <w:t>Bishop</w:t>
      </w:r>
      <w:proofErr w:type="gramEnd"/>
      <w:r w:rsidRPr="0047541B">
        <w:rPr>
          <w:rFonts w:ascii="Arial" w:hAnsi="Arial" w:cs="Arial"/>
          <w:color w:val="2F2F2F"/>
        </w:rPr>
        <w:t xml:space="preserve"> in whose jurisdiction the service will occur.</w:t>
      </w:r>
    </w:p>
    <w:p w14:paraId="0DE64CF2" w14:textId="77777777" w:rsidR="0047541B" w:rsidRPr="0047541B" w:rsidRDefault="0047541B" w:rsidP="0047541B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57228F88" w14:textId="77777777" w:rsidR="0047541B" w:rsidRPr="0047541B" w:rsidRDefault="0047541B" w:rsidP="0047541B">
      <w:pPr>
        <w:pStyle w:val="ListParagraph"/>
        <w:numPr>
          <w:ilvl w:val="0"/>
          <w:numId w:val="1"/>
        </w:numPr>
        <w:tabs>
          <w:tab w:val="left" w:pos="1514"/>
        </w:tabs>
        <w:ind w:left="1514" w:right="188" w:hanging="684"/>
        <w:rPr>
          <w:rFonts w:ascii="Arial" w:hAnsi="Arial" w:cs="Arial"/>
        </w:rPr>
      </w:pPr>
      <w:r w:rsidRPr="0047541B">
        <w:rPr>
          <w:rFonts w:ascii="Arial" w:hAnsi="Arial" w:cs="Arial"/>
          <w:color w:val="2F2F2F"/>
        </w:rPr>
        <w:t>The</w:t>
      </w:r>
      <w:r w:rsidRPr="0047541B">
        <w:rPr>
          <w:rFonts w:ascii="Arial" w:hAnsi="Arial" w:cs="Arial"/>
          <w:color w:val="2F2F2F"/>
          <w:spacing w:val="-2"/>
        </w:rPr>
        <w:t xml:space="preserve"> </w:t>
      </w:r>
      <w:r w:rsidRPr="0047541B">
        <w:rPr>
          <w:rFonts w:ascii="Arial" w:hAnsi="Arial" w:cs="Arial"/>
          <w:color w:val="2F2F2F"/>
        </w:rPr>
        <w:t>licensee conforms to the</w:t>
      </w:r>
      <w:r w:rsidRPr="0047541B">
        <w:rPr>
          <w:rFonts w:ascii="Arial" w:hAnsi="Arial" w:cs="Arial"/>
          <w:color w:val="2F2F2F"/>
          <w:spacing w:val="-1"/>
        </w:rPr>
        <w:t xml:space="preserve"> </w:t>
      </w:r>
      <w:r w:rsidRPr="0047541B">
        <w:rPr>
          <w:rFonts w:ascii="Arial" w:hAnsi="Arial" w:cs="Arial"/>
          <w:color w:val="2F2F2F"/>
        </w:rPr>
        <w:t>requirements and limitations set forth in the</w:t>
      </w:r>
      <w:r w:rsidRPr="0047541B">
        <w:rPr>
          <w:rFonts w:ascii="Arial" w:hAnsi="Arial" w:cs="Arial"/>
          <w:color w:val="2F2F2F"/>
          <w:spacing w:val="-7"/>
        </w:rPr>
        <w:t xml:space="preserve"> </w:t>
      </w:r>
      <w:r w:rsidRPr="0047541B">
        <w:rPr>
          <w:rFonts w:ascii="Arial" w:hAnsi="Arial" w:cs="Arial"/>
          <w:color w:val="2F2F2F"/>
        </w:rPr>
        <w:t>Rubrics and other directions in The Book of Common Prayer and to the directions of the Bishop and the Priest-in-Charge.</w:t>
      </w:r>
    </w:p>
    <w:p w14:paraId="75D2AB60" w14:textId="77777777" w:rsidR="005B2B09" w:rsidRPr="0047541B" w:rsidRDefault="005B2B09"/>
    <w:p w14:paraId="2E057E08" w14:textId="77777777" w:rsidR="005B2B09" w:rsidRPr="0047541B" w:rsidRDefault="005B2B09"/>
    <w:p w14:paraId="23C0D1FF" w14:textId="77777777" w:rsidR="005B2B09" w:rsidRPr="0047541B" w:rsidRDefault="005B2B09"/>
    <w:p w14:paraId="3744FC5A" w14:textId="77777777" w:rsidR="005B2B09" w:rsidRPr="0047541B" w:rsidRDefault="005B2B09"/>
    <w:p w14:paraId="6C91E4EE" w14:textId="77777777" w:rsidR="005B2B09" w:rsidRPr="0047541B" w:rsidRDefault="005B2B09"/>
    <w:p w14:paraId="34086F4E" w14:textId="77777777" w:rsidR="005B2B09" w:rsidRDefault="005B2B09"/>
    <w:p w14:paraId="42A2CC17" w14:textId="77777777" w:rsidR="005B2B09" w:rsidRDefault="005B2B09"/>
    <w:p w14:paraId="7A7C7681" w14:textId="77777777" w:rsidR="005B2B09" w:rsidRDefault="005B2B09"/>
    <w:p w14:paraId="13DB1F23" w14:textId="77777777" w:rsidR="005B2B09" w:rsidRDefault="005B2B09"/>
    <w:p w14:paraId="58464752" w14:textId="77777777" w:rsidR="005B2B09" w:rsidRDefault="005B2B09"/>
    <w:p w14:paraId="1B2B0B2E" w14:textId="77777777" w:rsidR="005B2B09" w:rsidRDefault="005B2B09"/>
    <w:p w14:paraId="5D5896E3" w14:textId="77777777" w:rsidR="005B2B09" w:rsidRDefault="005B2B09"/>
    <w:p w14:paraId="2AA15EA1" w14:textId="77777777" w:rsidR="005B2B09" w:rsidRDefault="005B2B09"/>
    <w:p w14:paraId="0BB80A01" w14:textId="77777777" w:rsidR="005B2B09" w:rsidRDefault="005B2B09"/>
    <w:p w14:paraId="2E646EBA" w14:textId="77777777" w:rsidR="005B2B09" w:rsidRDefault="005B2B09"/>
    <w:p w14:paraId="5DF8AF68" w14:textId="77777777" w:rsidR="005B2B09" w:rsidRDefault="005B2B09"/>
    <w:p w14:paraId="286E20D1" w14:textId="77777777" w:rsidR="005B2B09" w:rsidRDefault="005B2B09"/>
    <w:p w14:paraId="23EDCB51" w14:textId="77777777" w:rsidR="005B2B09" w:rsidRDefault="005B2B09"/>
    <w:p w14:paraId="749DB0A6" w14:textId="77777777" w:rsidR="005B2B09" w:rsidRDefault="005B2B09"/>
    <w:p w14:paraId="608EC26B" w14:textId="77777777" w:rsidR="005B2B09" w:rsidRDefault="005B2B09"/>
    <w:p w14:paraId="5FC57549" w14:textId="77777777" w:rsidR="005B2B09" w:rsidRDefault="005B2B09"/>
    <w:p w14:paraId="3531595F" w14:textId="77777777" w:rsidR="005B2B09" w:rsidRDefault="005B2B09"/>
    <w:p w14:paraId="413E61E9" w14:textId="77777777" w:rsidR="005B2B09" w:rsidRDefault="005B2B09"/>
    <w:p w14:paraId="113EFDAA" w14:textId="77777777" w:rsidR="005B2B09" w:rsidRDefault="005B2B09"/>
    <w:p w14:paraId="38962A51" w14:textId="77777777" w:rsidR="005B2B09" w:rsidRDefault="005B2B09"/>
    <w:p w14:paraId="73E22ACE" w14:textId="77777777" w:rsidR="005B2B09" w:rsidRDefault="005B2B09"/>
    <w:p w14:paraId="469128AE" w14:textId="77777777" w:rsidR="005B2B09" w:rsidRDefault="005B2B09"/>
    <w:p w14:paraId="49D28130" w14:textId="77777777" w:rsidR="005B2B09" w:rsidRDefault="005B2B09"/>
    <w:p w14:paraId="2BB2F072" w14:textId="77777777" w:rsidR="005B2B09" w:rsidRDefault="005B2B09"/>
    <w:p w14:paraId="0ABF0F5F" w14:textId="77777777" w:rsidR="005B2B09" w:rsidRDefault="005B2B09"/>
    <w:sectPr w:rsidR="005B2B0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A4CC" w14:textId="77777777" w:rsidR="0047541B" w:rsidRDefault="0047541B">
      <w:pPr>
        <w:spacing w:line="240" w:lineRule="auto"/>
      </w:pPr>
      <w:r>
        <w:separator/>
      </w:r>
    </w:p>
  </w:endnote>
  <w:endnote w:type="continuationSeparator" w:id="0">
    <w:p w14:paraId="73DC9120" w14:textId="77777777" w:rsidR="0047541B" w:rsidRDefault="00475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951E" w14:textId="77777777" w:rsidR="005B2B09" w:rsidRDefault="005B2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6317" w14:textId="77777777" w:rsidR="0047541B" w:rsidRDefault="0047541B">
      <w:pPr>
        <w:spacing w:line="240" w:lineRule="auto"/>
      </w:pPr>
      <w:r>
        <w:separator/>
      </w:r>
    </w:p>
  </w:footnote>
  <w:footnote w:type="continuationSeparator" w:id="0">
    <w:p w14:paraId="6F5D9F89" w14:textId="77777777" w:rsidR="0047541B" w:rsidRDefault="00475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84C0" w14:textId="77777777" w:rsidR="005B2B09" w:rsidRDefault="005B2B09">
    <w:pPr>
      <w:ind w:firstLine="72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3F08" w14:textId="77777777" w:rsidR="005B2B09" w:rsidRDefault="0047541B">
    <w:pPr>
      <w:ind w:firstLine="720"/>
      <w:rPr>
        <w:rFonts w:ascii="Montserrat" w:eastAsia="Montserrat" w:hAnsi="Montserrat" w:cs="Montserrat"/>
        <w:b/>
        <w:color w:val="FFFFFF"/>
        <w:sz w:val="30"/>
        <w:szCs w:val="30"/>
      </w:rPr>
    </w:pPr>
    <w:r>
      <w:rPr>
        <w:rFonts w:ascii="Montserrat" w:eastAsia="Montserrat" w:hAnsi="Montserrat" w:cs="Montserrat"/>
        <w:b/>
        <w:color w:val="FFFFFF"/>
        <w:sz w:val="30"/>
        <w:szCs w:val="30"/>
      </w:rPr>
      <w:t>The Episcopal Diocese of Western North Carolina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11A9E7F" wp14:editId="553F5BC1">
          <wp:simplePos x="0" y="0"/>
          <wp:positionH relativeFrom="column">
            <wp:posOffset>-323849</wp:posOffset>
          </wp:positionH>
          <wp:positionV relativeFrom="paragraph">
            <wp:posOffset>-323849</wp:posOffset>
          </wp:positionV>
          <wp:extent cx="661988" cy="107954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8" cy="1079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7AAFF159" wp14:editId="4ACAD54C">
              <wp:simplePos x="0" y="0"/>
              <wp:positionH relativeFrom="column">
                <wp:posOffset>-966787</wp:posOffset>
              </wp:positionH>
              <wp:positionV relativeFrom="paragraph">
                <wp:posOffset>-200024</wp:posOffset>
              </wp:positionV>
              <wp:extent cx="7877175" cy="823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98050" y="-68625"/>
                        <a:ext cx="2666400" cy="764700"/>
                      </a:xfrm>
                      <a:prstGeom prst="rect">
                        <a:avLst/>
                      </a:prstGeom>
                      <a:solidFill>
                        <a:srgbClr val="3976A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65A916" w14:textId="77777777" w:rsidR="005B2B09" w:rsidRDefault="005B2B0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AFF159" id="Rectangle 1" o:spid="_x0000_s1026" style="position:absolute;left:0;text-align:left;margin-left:-76.1pt;margin-top:-15.75pt;width:620.25pt;height:64.9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" fillcolor="#3976a1" stroked="f">
              <v:textbox inset="2.53958mm,2.53958mm,2.53958mm,2.53958mm">
                <w:txbxContent>
                  <w:p w14:paraId="6265A916" w14:textId="77777777" w:rsidR="005B2B09" w:rsidRDefault="005B2B0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DCFF523" w14:textId="77777777" w:rsidR="005B2B09" w:rsidRDefault="0047541B">
    <w:pPr>
      <w:ind w:firstLine="720"/>
      <w:rPr>
        <w:color w:val="FFFFFF"/>
      </w:rPr>
    </w:pPr>
    <w:r>
      <w:rPr>
        <w:color w:val="FFFFFF"/>
      </w:rPr>
      <w:t>900B CentrePark Drive, Asheville, NC 28805 | 828-225-6656 | diocesewnc.org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9BF"/>
    <w:multiLevelType w:val="hybridMultilevel"/>
    <w:tmpl w:val="9B082E5A"/>
    <w:lvl w:ilvl="0" w:tplc="8DFEC456">
      <w:start w:val="1"/>
      <w:numFmt w:val="lowerLetter"/>
      <w:lvlText w:val="(%1)"/>
      <w:lvlJc w:val="left"/>
      <w:pPr>
        <w:ind w:left="1535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-1"/>
        <w:w w:val="100"/>
        <w:sz w:val="23"/>
        <w:szCs w:val="23"/>
        <w:lang w:val="en-US" w:eastAsia="en-US" w:bidi="ar-SA"/>
      </w:rPr>
    </w:lvl>
    <w:lvl w:ilvl="1" w:tplc="D180C6EA">
      <w:numFmt w:val="bullet"/>
      <w:lvlText w:val="•"/>
      <w:lvlJc w:val="left"/>
      <w:pPr>
        <w:ind w:left="2320" w:hanging="686"/>
      </w:pPr>
      <w:rPr>
        <w:lang w:val="en-US" w:eastAsia="en-US" w:bidi="ar-SA"/>
      </w:rPr>
    </w:lvl>
    <w:lvl w:ilvl="2" w:tplc="7B140A34">
      <w:numFmt w:val="bullet"/>
      <w:lvlText w:val="•"/>
      <w:lvlJc w:val="left"/>
      <w:pPr>
        <w:ind w:left="3100" w:hanging="686"/>
      </w:pPr>
      <w:rPr>
        <w:lang w:val="en-US" w:eastAsia="en-US" w:bidi="ar-SA"/>
      </w:rPr>
    </w:lvl>
    <w:lvl w:ilvl="3" w:tplc="BF92FE70">
      <w:numFmt w:val="bullet"/>
      <w:lvlText w:val="•"/>
      <w:lvlJc w:val="left"/>
      <w:pPr>
        <w:ind w:left="3880" w:hanging="686"/>
      </w:pPr>
      <w:rPr>
        <w:lang w:val="en-US" w:eastAsia="en-US" w:bidi="ar-SA"/>
      </w:rPr>
    </w:lvl>
    <w:lvl w:ilvl="4" w:tplc="AA1EB692">
      <w:numFmt w:val="bullet"/>
      <w:lvlText w:val="•"/>
      <w:lvlJc w:val="left"/>
      <w:pPr>
        <w:ind w:left="4660" w:hanging="686"/>
      </w:pPr>
      <w:rPr>
        <w:lang w:val="en-US" w:eastAsia="en-US" w:bidi="ar-SA"/>
      </w:rPr>
    </w:lvl>
    <w:lvl w:ilvl="5" w:tplc="8D4AE27E">
      <w:numFmt w:val="bullet"/>
      <w:lvlText w:val="•"/>
      <w:lvlJc w:val="left"/>
      <w:pPr>
        <w:ind w:left="5440" w:hanging="686"/>
      </w:pPr>
      <w:rPr>
        <w:lang w:val="en-US" w:eastAsia="en-US" w:bidi="ar-SA"/>
      </w:rPr>
    </w:lvl>
    <w:lvl w:ilvl="6" w:tplc="B840E4FA">
      <w:numFmt w:val="bullet"/>
      <w:lvlText w:val="•"/>
      <w:lvlJc w:val="left"/>
      <w:pPr>
        <w:ind w:left="6220" w:hanging="686"/>
      </w:pPr>
      <w:rPr>
        <w:lang w:val="en-US" w:eastAsia="en-US" w:bidi="ar-SA"/>
      </w:rPr>
    </w:lvl>
    <w:lvl w:ilvl="7" w:tplc="EF2AAAD0">
      <w:numFmt w:val="bullet"/>
      <w:lvlText w:val="•"/>
      <w:lvlJc w:val="left"/>
      <w:pPr>
        <w:ind w:left="7000" w:hanging="686"/>
      </w:pPr>
      <w:rPr>
        <w:lang w:val="en-US" w:eastAsia="en-US" w:bidi="ar-SA"/>
      </w:rPr>
    </w:lvl>
    <w:lvl w:ilvl="8" w:tplc="8560143E">
      <w:numFmt w:val="bullet"/>
      <w:lvlText w:val="•"/>
      <w:lvlJc w:val="left"/>
      <w:pPr>
        <w:ind w:left="7780" w:hanging="686"/>
      </w:pPr>
      <w:rPr>
        <w:lang w:val="en-US" w:eastAsia="en-US" w:bidi="ar-SA"/>
      </w:rPr>
    </w:lvl>
  </w:abstractNum>
  <w:num w:numId="1" w16cid:durableId="11425771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09"/>
    <w:rsid w:val="0047541B"/>
    <w:rsid w:val="005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545DA"/>
  <w15:docId w15:val="{5CD5F91B-3BBA-459E-BE61-B980F12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541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541B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47541B"/>
    <w:pPr>
      <w:widowControl w:val="0"/>
      <w:autoSpaceDE w:val="0"/>
      <w:autoSpaceDN w:val="0"/>
      <w:spacing w:line="240" w:lineRule="auto"/>
      <w:ind w:left="1519" w:hanging="689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1240</Characters>
  <Application>Microsoft Office Word</Application>
  <DocSecurity>0</DocSecurity>
  <Lines>56</Lines>
  <Paragraphs>6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Lewis</dc:creator>
  <cp:lastModifiedBy>Eden Lewis</cp:lastModifiedBy>
  <cp:revision>2</cp:revision>
  <dcterms:created xsi:type="dcterms:W3CDTF">2024-02-22T20:09:00Z</dcterms:created>
  <dcterms:modified xsi:type="dcterms:W3CDTF">2024-02-22T20:09:00Z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7cc241c3415c966a7828db12d3625b98c750b87fc063fa155356a0d78b23874a</vt:lpwstr>
  </property>
</Properties>
</file>